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黑体" w:hAnsi="宋体" w:eastAsia="黑体" w:cs="黑体"/>
          <w:i w:val="0"/>
          <w:caps w:val="0"/>
          <w:color w:val="CC0000"/>
          <w:spacing w:val="0"/>
          <w:sz w:val="48"/>
          <w:szCs w:val="48"/>
          <w:shd w:val="clear" w:fill="FFFFFF"/>
        </w:rPr>
      </w:pPr>
      <w:bookmarkStart w:id="0" w:name="_GoBack"/>
      <w:r>
        <w:rPr>
          <w:rStyle w:val="4"/>
          <w:rFonts w:ascii="黑体" w:hAnsi="宋体" w:eastAsia="黑体" w:cs="黑体"/>
          <w:i w:val="0"/>
          <w:caps w:val="0"/>
          <w:color w:val="CC0000"/>
          <w:spacing w:val="0"/>
          <w:sz w:val="48"/>
          <w:szCs w:val="48"/>
          <w:shd w:val="clear" w:fill="FFFFFF"/>
        </w:rPr>
        <w:t>一周行业纵览（2022年第10期）</w:t>
      </w:r>
      <w:bookmarkEnd w:id="0"/>
    </w:p>
    <w:p>
      <w:pPr>
        <w:keepNext w:val="0"/>
        <w:keepLines w:val="0"/>
        <w:widowControl/>
        <w:suppressLineNumbers w:val="0"/>
        <w:spacing w:before="0" w:beforeAutospacing="0" w:after="0" w:afterAutospacing="0" w:line="520" w:lineRule="atLeast"/>
        <w:ind w:left="0" w:right="0" w:firstLine="0"/>
        <w:jc w:val="left"/>
        <w:rPr>
          <w:rFonts w:ascii="Arial" w:hAnsi="Arial" w:cs="Arial"/>
          <w:caps w:val="0"/>
          <w:color w:val="333333"/>
          <w:spacing w:val="0"/>
          <w:sz w:val="24"/>
          <w:szCs w:val="24"/>
        </w:rPr>
      </w:pPr>
      <w:r>
        <w:rPr>
          <w:rStyle w:val="4"/>
          <w:rFonts w:ascii="黑体" w:hAnsi="宋体" w:eastAsia="黑体" w:cs="黑体"/>
          <w:b/>
          <w:caps w:val="0"/>
          <w:color w:val="FF0000"/>
          <w:spacing w:val="0"/>
          <w:kern w:val="0"/>
          <w:sz w:val="27"/>
          <w:szCs w:val="27"/>
          <w:lang w:val="en-US" w:eastAsia="zh-CN" w:bidi="ar"/>
        </w:rPr>
        <w:t>行业信息</w:t>
      </w:r>
    </w:p>
    <w:p>
      <w:pPr>
        <w:keepNext w:val="0"/>
        <w:keepLines w:val="0"/>
        <w:widowControl/>
        <w:suppressLineNumbers w:val="0"/>
        <w:spacing w:before="0" w:beforeAutospacing="0" w:after="0" w:afterAutospacing="0" w:line="560" w:lineRule="atLeast"/>
        <w:ind w:left="0" w:right="0" w:firstLine="0"/>
        <w:jc w:val="left"/>
        <w:rPr>
          <w:rFonts w:hint="default" w:ascii="Arial" w:hAnsi="Arial" w:cs="Arial"/>
          <w:caps w:val="0"/>
          <w:color w:val="333333"/>
          <w:spacing w:val="0"/>
          <w:sz w:val="24"/>
          <w:szCs w:val="24"/>
        </w:rPr>
      </w:pPr>
      <w:r>
        <w:rPr>
          <w:rFonts w:hint="eastAsia" w:ascii="黑体" w:hAnsi="宋体" w:eastAsia="黑体" w:cs="黑体"/>
          <w:caps w:val="0"/>
          <w:color w:val="333333"/>
          <w:spacing w:val="0"/>
          <w:kern w:val="0"/>
          <w:sz w:val="27"/>
          <w:szCs w:val="27"/>
          <w:lang w:val="en-US" w:eastAsia="zh-CN" w:bidi="ar"/>
        </w:rPr>
        <w:t>◎国家统计局3月15日公布的数据显示，今年1-2月份我国粗钢产量为15796万吨，同比减少10.0%；日均粗钢产量为267.7万吨，环比下滑3.7%，同比下降9.7%。1-2月份中国黑色金属冶炼和压延加工业的增加值同比下降2.9%。</w:t>
      </w:r>
    </w:p>
    <w:p>
      <w:pPr>
        <w:keepNext w:val="0"/>
        <w:keepLines w:val="0"/>
        <w:widowControl/>
        <w:suppressLineNumbers w:val="0"/>
        <w:spacing w:before="0" w:beforeAutospacing="0" w:after="0" w:afterAutospacing="0" w:line="560" w:lineRule="atLeast"/>
        <w:ind w:left="0" w:right="0" w:firstLine="0"/>
        <w:jc w:val="left"/>
        <w:rPr>
          <w:rFonts w:hint="default" w:ascii="Arial" w:hAnsi="Arial" w:cs="Arial"/>
          <w:caps w:val="0"/>
          <w:color w:val="333333"/>
          <w:spacing w:val="0"/>
          <w:sz w:val="24"/>
          <w:szCs w:val="24"/>
        </w:rPr>
      </w:pPr>
      <w:r>
        <w:rPr>
          <w:rFonts w:hint="eastAsia" w:ascii="黑体" w:hAnsi="宋体" w:eastAsia="黑体" w:cs="黑体"/>
          <w:caps w:val="0"/>
          <w:color w:val="333333"/>
          <w:spacing w:val="0"/>
          <w:kern w:val="0"/>
          <w:sz w:val="27"/>
          <w:szCs w:val="27"/>
          <w:lang w:val="en-US" w:eastAsia="zh-CN" w:bidi="ar"/>
        </w:rPr>
        <w:t>◎中钢协统计数据显示，截至2021年年底，已有34家钢铁企业完成了超低排放改造公示。其中，23家钢铁企业完成了全工序超低排放改造，并通过了评估监测公示，钢铁产能约1.45亿吨；另外，11家钢铁企业完成了部分工序的超低排放改造和评估监测进展情况公示，钢铁产能约8400万吨。</w:t>
      </w:r>
    </w:p>
    <w:p>
      <w:pPr>
        <w:keepNext w:val="0"/>
        <w:keepLines w:val="0"/>
        <w:widowControl/>
        <w:suppressLineNumbers w:val="0"/>
        <w:spacing w:before="0" w:beforeAutospacing="0" w:after="0" w:afterAutospacing="0" w:line="560" w:lineRule="atLeast"/>
        <w:ind w:left="0" w:right="0" w:firstLine="0"/>
        <w:jc w:val="left"/>
        <w:rPr>
          <w:rFonts w:hint="default" w:ascii="Arial" w:hAnsi="Arial" w:cs="Arial"/>
          <w:caps w:val="0"/>
          <w:color w:val="333333"/>
          <w:spacing w:val="0"/>
          <w:sz w:val="24"/>
          <w:szCs w:val="24"/>
        </w:rPr>
      </w:pPr>
      <w:r>
        <w:rPr>
          <w:rFonts w:hint="eastAsia" w:ascii="黑体" w:hAnsi="宋体" w:eastAsia="黑体" w:cs="黑体"/>
          <w:caps w:val="0"/>
          <w:color w:val="333333"/>
          <w:spacing w:val="0"/>
          <w:kern w:val="0"/>
          <w:sz w:val="27"/>
          <w:szCs w:val="27"/>
          <w:lang w:val="en-US" w:eastAsia="zh-CN" w:bidi="ar"/>
        </w:rPr>
        <w:t>◎3月11日，浙江省发改委印发《浙江省钢铁生产企业综合能耗确权核算指南》等9个行业综合能耗核算指南公示，涉及钢铁、水泥、纺织等多个行业，公示期为2022年3月11日—17日。</w:t>
      </w:r>
    </w:p>
    <w:p>
      <w:pPr>
        <w:keepNext w:val="0"/>
        <w:keepLines w:val="0"/>
        <w:widowControl/>
        <w:suppressLineNumbers w:val="0"/>
        <w:shd w:val="clear" w:fill="FFFFFF"/>
        <w:spacing w:before="0" w:beforeAutospacing="0" w:after="0" w:afterAutospacing="0" w:line="560" w:lineRule="atLeast"/>
        <w:ind w:left="0" w:right="0" w:firstLine="0"/>
        <w:jc w:val="left"/>
        <w:rPr>
          <w:rStyle w:val="4"/>
          <w:rFonts w:ascii="黑体" w:hAnsi="宋体" w:eastAsia="黑体" w:cs="黑体"/>
          <w:b/>
          <w:i w:val="0"/>
          <w:caps w:val="0"/>
          <w:color w:val="FF0000"/>
          <w:spacing w:val="0"/>
          <w:kern w:val="0"/>
          <w:sz w:val="27"/>
          <w:szCs w:val="27"/>
          <w:shd w:val="clear" w:fill="FFFFFF"/>
          <w:lang w:val="en-US" w:eastAsia="zh-CN" w:bidi="ar"/>
        </w:rPr>
      </w:pPr>
      <w:r>
        <w:rPr>
          <w:rFonts w:hint="eastAsia" w:ascii="黑体" w:hAnsi="宋体" w:eastAsia="黑体" w:cs="黑体"/>
          <w:caps w:val="0"/>
          <w:color w:val="333333"/>
          <w:spacing w:val="0"/>
          <w:kern w:val="0"/>
          <w:sz w:val="27"/>
          <w:szCs w:val="27"/>
          <w:lang w:val="en-US" w:eastAsia="zh-CN" w:bidi="ar"/>
        </w:rPr>
        <w:t>◎日前，唐山市编制出台《环渤海地区新型工业化基地建设规划》，将加大钢铁企业兼并重组力度，全市钢铁企业（集团）数量控制到20家以内，前10家钢铁企业（集团）产量占比达到80%以上，沿海钢铁产能达到总产能的45%以上。</w:t>
      </w:r>
    </w:p>
    <w:p>
      <w:pPr>
        <w:keepNext w:val="0"/>
        <w:keepLines w:val="0"/>
        <w:widowControl/>
        <w:suppressLineNumbers w:val="0"/>
        <w:shd w:val="clear" w:fill="FFFFFF"/>
        <w:spacing w:before="0" w:beforeAutospacing="0" w:after="0" w:afterAutospacing="0" w:line="560" w:lineRule="atLeast"/>
        <w:ind w:left="0" w:right="0" w:firstLine="0"/>
        <w:jc w:val="left"/>
        <w:rPr>
          <w:rFonts w:ascii="Arial" w:hAnsi="Arial" w:cs="Arial"/>
          <w:i w:val="0"/>
          <w:caps w:val="0"/>
          <w:color w:val="333333"/>
          <w:spacing w:val="0"/>
          <w:sz w:val="24"/>
          <w:szCs w:val="24"/>
        </w:rPr>
      </w:pPr>
      <w:r>
        <w:rPr>
          <w:rStyle w:val="4"/>
          <w:rFonts w:ascii="黑体" w:hAnsi="宋体" w:eastAsia="黑体" w:cs="黑体"/>
          <w:b/>
          <w:i w:val="0"/>
          <w:caps w:val="0"/>
          <w:color w:val="FF0000"/>
          <w:spacing w:val="0"/>
          <w:kern w:val="0"/>
          <w:sz w:val="27"/>
          <w:szCs w:val="27"/>
          <w:shd w:val="clear" w:fill="FFFFFF"/>
          <w:lang w:val="en-US" w:eastAsia="zh-CN" w:bidi="ar"/>
        </w:rPr>
        <w:t>“双循环”动态</w:t>
      </w:r>
    </w:p>
    <w:p>
      <w:pPr>
        <w:keepNext w:val="0"/>
        <w:keepLines w:val="0"/>
        <w:widowControl/>
        <w:suppressLineNumbers w:val="0"/>
        <w:shd w:val="clear" w:fill="FFFFFF"/>
        <w:spacing w:before="0" w:beforeAutospacing="0" w:after="0" w:afterAutospacing="0" w:line="560" w:lineRule="atLeast"/>
        <w:ind w:left="0" w:right="0" w:firstLine="0"/>
        <w:jc w:val="left"/>
        <w:rPr>
          <w:rFonts w:hint="default" w:ascii="Arial" w:hAnsi="Arial" w:cs="Arial"/>
          <w:i w:val="0"/>
          <w:caps w:val="0"/>
          <w:color w:val="333333"/>
          <w:spacing w:val="0"/>
          <w:sz w:val="24"/>
          <w:szCs w:val="24"/>
        </w:rPr>
      </w:pPr>
      <w:r>
        <w:rPr>
          <w:rFonts w:hint="eastAsia" w:ascii="黑体" w:hAnsi="宋体" w:eastAsia="黑体" w:cs="黑体"/>
          <w:i w:val="0"/>
          <w:caps w:val="0"/>
          <w:color w:val="333333"/>
          <w:spacing w:val="0"/>
          <w:kern w:val="0"/>
          <w:sz w:val="27"/>
          <w:szCs w:val="27"/>
          <w:shd w:val="clear" w:fill="FFFFFF"/>
          <w:lang w:val="en-US" w:eastAsia="zh-CN" w:bidi="ar"/>
        </w:rPr>
        <w:t>◎中国工程机械工业协会对11家推土机制造企业统计数据显示，2月销售各类推土机552台，同比下降5.48%，环比增长20%；其中国内208台，同比下降44.4%；出口344台，同比增长63.8%。</w:t>
      </w:r>
    </w:p>
    <w:p>
      <w:pPr>
        <w:keepNext w:val="0"/>
        <w:keepLines w:val="0"/>
        <w:widowControl/>
        <w:suppressLineNumbers w:val="0"/>
        <w:shd w:val="clear" w:fill="FFFFFF"/>
        <w:spacing w:before="0" w:beforeAutospacing="0" w:after="0" w:afterAutospacing="0" w:line="560" w:lineRule="atLeast"/>
        <w:ind w:left="0" w:right="0" w:firstLine="0"/>
        <w:jc w:val="left"/>
        <w:rPr>
          <w:rFonts w:hint="default" w:ascii="Arial" w:hAnsi="Arial" w:cs="Arial"/>
          <w:i w:val="0"/>
          <w:caps w:val="0"/>
          <w:color w:val="333333"/>
          <w:spacing w:val="0"/>
          <w:sz w:val="24"/>
          <w:szCs w:val="24"/>
        </w:rPr>
      </w:pPr>
      <w:r>
        <w:rPr>
          <w:rFonts w:hint="eastAsia" w:ascii="黑体" w:hAnsi="宋体" w:eastAsia="黑体" w:cs="黑体"/>
          <w:i w:val="0"/>
          <w:caps w:val="0"/>
          <w:color w:val="333333"/>
          <w:spacing w:val="0"/>
          <w:kern w:val="0"/>
          <w:sz w:val="27"/>
          <w:szCs w:val="27"/>
          <w:shd w:val="clear" w:fill="FFFFFF"/>
          <w:lang w:val="en-US" w:eastAsia="zh-CN" w:bidi="ar"/>
        </w:rPr>
        <w:t>◎乘联会数据显示，3月7-13日，乘用车零售32.0万辆，同比增长3%，较上月同期增长75%。乘用车批发35.7万辆，同比下降3%，较上月同期增长85%。3月第二周总体狭义乘用车市场零售达到日均4.6万辆，同比增长3%，表现相对较强。</w:t>
      </w:r>
    </w:p>
    <w:p>
      <w:pPr>
        <w:keepNext w:val="0"/>
        <w:keepLines w:val="0"/>
        <w:widowControl/>
        <w:suppressLineNumbers w:val="0"/>
        <w:shd w:val="clear" w:fill="FFFFFF"/>
        <w:spacing w:before="0" w:beforeAutospacing="0" w:after="0" w:afterAutospacing="0" w:line="560" w:lineRule="atLeast"/>
        <w:ind w:left="0" w:right="0" w:firstLine="0"/>
        <w:jc w:val="left"/>
        <w:rPr>
          <w:rFonts w:hint="default" w:ascii="Arial" w:hAnsi="Arial" w:cs="Arial"/>
          <w:i w:val="0"/>
          <w:caps w:val="0"/>
          <w:color w:val="333333"/>
          <w:spacing w:val="0"/>
          <w:sz w:val="24"/>
          <w:szCs w:val="24"/>
        </w:rPr>
      </w:pPr>
      <w:r>
        <w:rPr>
          <w:rFonts w:hint="eastAsia" w:ascii="黑体" w:hAnsi="宋体" w:eastAsia="黑体" w:cs="黑体"/>
          <w:i w:val="0"/>
          <w:caps w:val="0"/>
          <w:color w:val="333333"/>
          <w:spacing w:val="0"/>
          <w:kern w:val="0"/>
          <w:sz w:val="30"/>
          <w:szCs w:val="30"/>
          <w:shd w:val="clear" w:fill="FFFFFF"/>
          <w:lang w:val="en-US" w:eastAsia="zh-CN" w:bidi="ar"/>
        </w:rPr>
        <w:t>◎从中汽协获悉，中国2月份汽车销量173.7万辆，同比上涨18.7%；1-2月累计汽车销量426.8万辆，同比上涨7.5%。2月份新能源汽车销量33.4万辆，同比上涨184.3%。1-2月份新能源车累计销量76.5万辆，同比上涨154.7%。</w:t>
      </w:r>
    </w:p>
    <w:p>
      <w:pPr>
        <w:keepNext w:val="0"/>
        <w:keepLines w:val="0"/>
        <w:widowControl/>
        <w:suppressLineNumbers w:val="0"/>
        <w:shd w:val="clear" w:fill="FFFFFF"/>
        <w:spacing w:before="0" w:beforeAutospacing="0" w:after="0" w:afterAutospacing="0" w:line="560" w:lineRule="atLeast"/>
        <w:ind w:left="0" w:right="0" w:firstLine="0"/>
        <w:jc w:val="left"/>
        <w:rPr>
          <w:rFonts w:hint="default" w:ascii="Arial" w:hAnsi="Arial" w:cs="Arial"/>
          <w:i w:val="0"/>
          <w:caps w:val="0"/>
          <w:color w:val="333333"/>
          <w:spacing w:val="0"/>
          <w:sz w:val="24"/>
          <w:szCs w:val="24"/>
        </w:rPr>
      </w:pPr>
      <w:r>
        <w:rPr>
          <w:rFonts w:hint="eastAsia" w:ascii="黑体" w:hAnsi="宋体" w:eastAsia="黑体" w:cs="黑体"/>
          <w:i w:val="0"/>
          <w:caps w:val="0"/>
          <w:color w:val="333333"/>
          <w:spacing w:val="0"/>
          <w:kern w:val="0"/>
          <w:sz w:val="27"/>
          <w:szCs w:val="27"/>
          <w:shd w:val="clear" w:fill="FFFFFF"/>
          <w:lang w:val="en-US" w:eastAsia="zh-CN" w:bidi="ar"/>
        </w:rPr>
        <w:t>◎国际货币基金组织（IMF）表示，受乌克兰危机影响，IMF可能下调世界经济增长预期。乌克兰危机将加剧许多国家的通胀压力，实体经济也受到影响。此外，高通胀下不少经济体货币政策收紧速度可能加快，新兴市场可能面临金融环境收紧和企业信心下滑的双重压力。</w:t>
      </w:r>
    </w:p>
    <w:p>
      <w:pPr>
        <w:rPr>
          <w:rStyle w:val="4"/>
          <w:rFonts w:ascii="黑体" w:hAnsi="宋体" w:eastAsia="黑体" w:cs="黑体"/>
          <w:i w:val="0"/>
          <w:caps w:val="0"/>
          <w:color w:val="CC0000"/>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0201B"/>
    <w:rsid w:val="1E60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2022-03-25T00:46:00Z</dcterms:created>
  <dc:creator>张国华</dc:creator>
  <cp:lastModifiedBy>张国华</cp:lastModifiedBy>
  <dcterms:modified xsi:type="dcterms:W3CDTF">2022-03-25T00:47:29Z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